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docProps/core.xml" ContentType="application/vnd.openxmlformats-package.core-properties+xml"/>
  <Override PartName="/word/charts/chart0.xml" ContentType="application/vnd.openxmlformats-officedocument.drawingml.chart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Default Extension="rels" ContentType="application/vnd.openxmlformats-package.relationships+xml"/>
  <Default Extension="xml" ContentType="application/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_top" w:name="_top"/>
    <w:bookmarkEnd w:id="_top"/>
    <w:p>
      <w:pPr>
        <w:pStyle w:val="17"/>
        <w:rPr>
          <w:rFonts w:ascii="Gulim" w:hAnsi="Gulim" w:eastAsia="Gulim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Gulim" w:hAnsi="Gulim" w:eastAsia="Gulim"/>
          <w:color w:val="000000"/>
          <w:u w:val="none"/>
          <w:shd w:val="clear" w:color="000000" w:fill="ffffff"/>
        </w:rPr>
        <w:t xml:space="preserve">                              후대를 위한 빛의 캠프(삼상2:18-21)                   9/6/2026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이번 주부터 학교에서는 개학을 하고, 우리 교회에서는 서밋 스쿨, 써밋 프리스쿨이 개강을 한다. 부모로서, 중직자들로서 우리는 어떤 기도와 지원을 해야 하는가? 우리만 할 수 있는 것이 있다. “빛의 캠프”이다. </w:t>
      </w:r>
    </w:p>
    <w:p>
      <w:pPr>
        <w:pStyle w:val="17"/>
        <w:rPr>
          <w:rFonts w:ascii="함초롬바탕" w:hAnsi="함초롬바탕" w:eastAsia="함초롬바탕"/>
          <w:color w:val="b2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b20000"/>
          <w:u w:val="none"/>
          <w:shd w:val="clear" w:color="000000" w:fill="ffffff"/>
        </w:rPr>
        <w:t>이 빛의 캠프가 왜 중요한가? 그만큼 세상에 어둠이 깊어가고 있기 때문이다(사60:2, 딤후3:1).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왜 성경은 이 어둠에 관한 말씀을 하는가? </w:t>
      </w: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눈에 보이는 세상 창조 때부터 이 어둠이 있었음을 말씀하신다(창1:2).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단순히 빛이 없는 상태가 아니다. 눈에 보이는 세상 이전에 먼저 창조된 영적 세계에 영적 타락이 있었다.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그 속에 타락한 영적 존재들이 있었다. 타락한 영들이요, 우리가 사단, 마귀라고 부르는 자와 그를 따르는 자들이다.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이들을 “어둠의 권세”라고 했다(눅22:53). 그들을 또 “어둠의 세상 주관자요 악의 영들”(엡6:12)이라고 했다.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그들이 타락하고 세상으로 쫓겨 왔고(계12:9), 첫 인생 아담과 하와를 유혹하여 무너뜨린 자들이다(창3:1-5).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>이들이 세상을 타락하게 하는 자들이요, 인생을 죽이고 멸망시키고, 악한 일을 하는 자들이라고 했다(요10:10).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>세상에 왜 악한 일이 계속 되는가? 개인의 인생 속에 왜 어둠의 일들이 계속 되는가? 앞으로 잘 되라고 학교를 보내는데, 왜 거기서 까지 상처를 받고, 이해할 수 없는 일들이 벌어지는가? 거기에 어둠의 영들이 있다는 것이다.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>사무엘 2장에 적나라하게 기록된 엘리 제사장의 아들들의 실패가 여기서 시작된 것이다.</w:t>
      </w: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그들은 단순히 악한 행실만 한 게 아니고, 하나님의 제사(예배)를 멸시했다고 했다(삼상2:17). 이것이 먼저 사단이 한 짓이다(겔28:14-15).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이 어둠의 영들이 가야할 지옥을 영원히 꺼지지 않는 불못이면서(계20:10), 영원한 어둠의 자리라고 했다(벧후2:4, 유1:13). 한나도 자기를 고통하게 한 자들이 흑암의 깊은 곳으로 보내질 것이라고 표현을 했다(삼상2:9).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1. 하나님은 우리가 이 어둠 속에 살고, 영원한 어둠의 자리에 있기를 원하지 않으셨다.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>1) 그래서 아들을 그리스도로 보내시고, 그 분을 곧 사람들의 빛이라고 한 것이다(요1:4)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그런데 사람들이 그 빛을 못 깨닫고, 오히려 그 빛을 가로막고 대적했다는 것이다.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그러나 시대마다 그 분을 자기 인생의 빛으로 알고, 영접한 자들이 있었다. 누구인가?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그들이 하나님의 자녀요(요1:12), 빛의 자녀가 되었다고 한 것이다(엡5:8). 내가 빛이 아니고, 빛을 소유한 자이다.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2) 성경은 구원을 뭐라고 설명했는가?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내가 이 그리스도를 영접함으로 모든 죄와 저주와 운명에서 빠져나와 하나님의 자녀가 된 상태이다.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이것을 더 구체적으로 뭐라고 했는가? 사단의 손에서 해방된 상태이고(눅1:71), 흑암의 나라에서 하나님의 아들의     나라로 옮겨진 상태라고 했다(골1:13). 그래서 우리가 하나님 나라의 백성이 되었고, 그 나라의 축복을 누릴 자들     이 된 것이다(엡1:3-5). 더 이상 눌려 살 이유가 없다(행10:38). 이 축복을 누리는 것이 진짜 신앙생활이다.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3) 그 정도가 아니다. 이 빛의 능력으로 어둠의 권세들과 대적하여 승리할 자들이 된 것이다.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①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이 땅을 어둠의 권세들이 덮고 있다. 교회를 어둠으로 덮고, 현장을 어둠으로 덮고, 후대를 어둠으로 끌고 가는     시대이다. </w:t>
      </w: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이 3 현장을 살릴 자들로 하나님이 우리를 부르신 것이다(벧전2:9).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②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실제로 권세와 능력도 주셨다. 그리스도의 권세를 가진 자들이다. “왕 같은 제사장”이라고 한 이유다.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/>
          <w:b w:val="0"/>
          <w:color w:val="000000"/>
          <w:u w:val="none"/>
          <w:shd w:val="clear" w:color="000000" w:fill="ffffff"/>
        </w:rPr>
        <w:t xml:space="preserve"> </w:t>
      </w:r>
      <w:r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t xml:space="preserve">  그 권세를 가지고 기도할 때 능력이 나온다.</w:t>
      </w: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공중 권세를 잡은 자들을 이기는 하늘의 능력(Heavenly Power)이다.     세계를 살리고 정복하는 보좌의 능력(Thronely Power)이다. 미래를 살리는 영원한 능력이다(Eternally Power).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우리의 후대들이 이 축복을 가지고, 누리면서 학교로 가고, 직장으로 가고, 미래로 가도록 만들어야 한다.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2. 그래서 집중해야 하는 것이 이 빛의 캠프이다. 학교에서 할 수 없는 것이 이것이다.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이 그리스도의 빛이 어떤 빛인가? 창조의 빛이고, 생명의 빛이고, 축복의 빛이다. 어떤 경우도 어둠은 빛을 이길      수 없다. 우리가, 우리 후대들이 잠시 넘어지고 자빠져도 다시 일어날 수 있는 이유가 이것이다(잠언24:16)</w:t>
      </w:r>
    </w:p>
    <w:p>
      <w:pPr>
        <w:pStyle w:val="17"/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t xml:space="preserve">   가정에서부터 세가지 빛의 캠프를 해야 한다. 교회는 그것을 돕는 것이다. 함께 할 수 있는 것이 캠프이다.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사무엘이 성전으로 보내져 훈련받았지만(18절), 그 어머니 한나는 계속 그를 지원하고 도운 것이다(19절)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1) 제1캠프-이 빛을 깨닫고 누리는 훈련이다.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①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모든 환경 현실에 속지 말고, 내 안에 빛으로 오신 그리스도부터 깨닫고 누려야 한다(사60:1)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그리스도 안에서 내가 빛의 자녀인 것을 알고 누리도록 도와야 한다. 각인, 뿌리, 체질이 되게 만들어야 한다.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②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내가 누리는 빛이 전달된다. 여기서 진정한 가정 교육도 나오고, 참된 전도와 선교도 나온다(사60:3-7)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이때 하나님이 준비한 내가 할 일이 보이고, 가야 할 길이 보인다. 나의 미션이 깨달아지는 것이다.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2) 제2캠프-이때부터 내 안에 어둠이 치유되기 시작된다. 부모부터 치유받아야 한다.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①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분명히 내 안에 어둠이 있다. 가문의 문제요, 유전적 문제요, 성장 과정의 문제일수도 있다. </w:t>
      </w:r>
    </w:p>
    <w:p>
      <w:pPr>
        <w:pStyle w:val="17"/>
        <w:rPr>
          <w:rFonts w:ascii="함초롬바탕" w:hAnsi="함초롬바탕" w:eastAsia="함초롬바탕"/>
          <w:color w:val="b2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b20000"/>
          <w:u w:val="none"/>
          <w:shd w:val="clear" w:color="000000" w:fill="ffffff"/>
        </w:rPr>
        <w:t xml:space="preserve">   어릴 때 그 문제가 나타날 수 있다(ADHD, 우울증, 외로움, 분노 조절 장애). 치유하라고 미리 보게 하신 것이다.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빛이신 그리스도를 바라보고 누릴 때 치유된다. 무엇도 나와 내 후대를 망하게 할 수 없다. 절망하지 마라. </w:t>
      </w:r>
    </w:p>
    <w:p>
      <w:pPr>
        <w:pStyle w:val="17"/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t xml:space="preserve">   고칠 수 없는 병이라도 하나님의 빛이 비추어지면 다르다. 그 빛의 능력과 축복이 임하도록 기도하라.  </w:t>
      </w:r>
    </w:p>
    <w:p>
      <w:pPr>
        <w:pStyle w:val="17"/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t xml:space="preserve">   그때 하나님이 준비한 보좌의 망대, 축복, 이정표가 보인다.   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②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이 축복을 누리는 나를 통해 또다른 사람들이 치유된다.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치유가 뭔지를 알고, 그것을 체험한 사람들이 증거가 되어 또다른 사람을 살리는 치유가 나온다.</w:t>
      </w:r>
    </w:p>
    <w:p>
      <w:pPr>
        <w:pStyle w:val="17"/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800080"/>
          <w:u w:val="none"/>
          <w:shd w:val="clear" w:color="000000" w:fill="ffffff"/>
        </w:rPr>
        <w:t xml:space="preserve">   마음 치유, 생각 치유, 습관 치유, 질병 치유 중요하다. 그러나 모든 치유를 위한 근본 치유가 있다. 영적 치유이다. </w:t>
      </w:r>
    </w:p>
    <w:p>
      <w:pPr>
        <w:pStyle w:val="17"/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color w:val="333399"/>
          <w:u w:val="none"/>
          <w:shd w:val="clear" w:color="000000" w:fill="ffffff"/>
        </w:rPr>
        <w:t xml:space="preserve">   우리를 택하여 세운 이유가 이것이다. “그 눈을 뜨게 하여 어둠에서 빛으로, 사탄의 권세에서 하나님께로 돌아오게     하기 위함이라”(행26:18)”고 했다.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3) 제3캠프-여기서 복음에 생명 걸고 쓰임 받을 수 있는 제자들이 세워진다.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①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한나가 처절한 고통 속에서 생명 걸고 언약을 잡았고, 생명 걸고 기도했고, 생명 걸고 사무엘을 맡긴 것이다.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 xml:space="preserve">   </w:t>
      </w: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한나가 그 시대 제자였고, 그 제자를 통해 사무엘이라는 아들 제자가 일어난 것이다.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그렇게 드려진 사무엘을 통해서 하나님은 이스라엘을 살리고, 또다른 제자 다윗을 일으켜 세운 것이다. </w:t>
      </w:r>
    </w:p>
    <w:p>
      <w:pPr>
        <w:pStyle w:val="17"/>
        <w:rPr>
          <w:rFonts w:ascii="굴림" w:hAnsi="굴림" w:eastAsia="굴림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굴림" w:hAnsi="굴림"/>
          <w:color w:val="000000"/>
          <w:u w:val="none"/>
          <w:shd w:val="clear" w:color="000000" w:fill="ffffff"/>
        </w:rPr>
        <w:t>②</w:t>
      </w:r>
      <w:r>
        <w:rPr>
          <w:rFonts w:ascii="굴림" w:hAnsi="굴림" w:eastAsia="굴림"/>
          <w:color w:val="000000"/>
          <w:u w:val="none"/>
          <w:shd w:val="clear" w:color="000000" w:fill="ffffff"/>
        </w:rPr>
        <w:t xml:space="preserve"> 그 사무엘을 하나님께 드리고, 한나는 더 많은 자녀들을 얻게 된다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“여호와께서 한나를 돌보시사”(21절). “돌본다”는 단어의 히브리어 </w:t>
      </w:r>
      <w:r>
        <w:rPr>
          <w:rFonts w:ascii="함초롬바탕" w:hAnsi="함초롬바탕" w:eastAsia="함초롬바탕"/>
          <w:color w:val="000000"/>
          <w:u w:val="none"/>
          <w:shd w:val="clear" w:color="000000" w:fill="ffffff"/>
        </w:rPr>
        <w:t>'파카드(</w:t>
      </w:r>
      <w:r>
        <w:drawing>
          <wp:anchor distT="0" distB="0" distL="0" distR="0" simplePos="0" relativeHeight="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524250" cy="2571750"/>
            <wp:effectExtent l="223088200" t="-1800039952" r="0" b="0"/>
            <wp:wrapSquare wrapText="bothSides"/>
            <wp:docPr id="1" name="차트 1"/>
            <wp:cNvGraphicFramePr/>
            <a:graphic>
              <a:graphicData uri="http://schemas.openxmlformats.org/drawingml/2006/chart">
                <c:chart r:id="rId1"/>
              </a:graphicData>
            </a:graphic>
          </wp:anchor>
        </w:drawing>
        <w:rPr>
          <w:rFonts w:ascii="함초롬바탕" w:hAnsi="함초롬바탕"/>
          <w:color w:val="000000"/>
          <w:u w:val="none"/>
          <w:shd w:val="clear" w:color="000000" w:fill="ffffff"/>
        </w:rPr>
        <w:t>Paqad)'</w:t>
      </w: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에는 “찾아오다”, “마음을 두고      기억하다”, “계산하여 갚아주다”라는 뜻이 있다. 영어에는 “큰 은혜를 베풀었다”고만 기록했다. 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주님도 제자들에게 생명 걸고 복음을 붙잡은 만큼 잃어버린 것이 있으면 백배를 약속하셨다(막10:29-30)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   한 번 살다 가는 인생, 하나님 앞에 서야 하는 인생, 복음에 생명 건 자들로 설 수 있기를 축복한다.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  <w:r>
        <w:rPr>
          <w:rFonts w:eastAsia="굴림"/>
          <w:color w:val="000000"/>
          <w:u w:val="none"/>
          <w:shd w:val="clear" w:color="000000" w:fill="ffffff"/>
        </w:rPr>
        <w:t>결론</w:t>
      </w:r>
      <w:r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t xml:space="preserve">-내 안에서부터 빛의 캠프를 하라. 어둠이 가득한 3현장 시대에 나와 우리 후대를 빛의 증인으로 세우실 것이다. </w:t>
      </w:r>
    </w:p>
    <w:p>
      <w:pPr>
        <w:pStyle w:val="17"/>
        <w:rPr>
          <w:rFonts w:ascii="함초롬바탕" w:hAnsi="함초롬바탕" w:eastAsia="함초롬바탕"/>
          <w:b w:val="0"/>
          <w:color w:val="000000"/>
          <w:u w:val="none"/>
          <w:shd w:val="clear" w:color="000000" w:fill="ffffff"/>
        </w:rPr>
        <w:widowControl w:val="off"/>
        <w:spacing w:line="288" w:lineRule="auto"/>
        <w:ind w:right="38"/>
      </w:pPr>
    </w:p>
    <w:sectPr>
      <w:endnotePr>
        <w:pos w:val="docEnd"/>
        <w:numFmt w:val="decimal"/>
        <w:numRestart w:val="continuous"/>
      </w:endnotePr>
      <w:footnotePr>
        <w:numFmt w:val="decimal"/>
        <w:numRestart w:val="continuous"/>
      </w:footnotePr>
      <w:pgSz w:w="13039" w:h="17575"/>
      <w:pgMar w:top="850" w:right="1701" w:bottom="454" w:left="1701" w:header="0" w:footer="113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75"/>
  <w:bordersDoNotSurroundHeader/>
  <w:stylePaneFormatFilter w:val="0001"/>
  <w:bordersDoNotSurroundFooter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Batang" w:hAnsi="Batang" w:eastAsia="Batang"/>
      <w:color w:val="000000"/>
      <w:sz w:val="20"/>
      <w:shd w:val="clear" w:color="000000" w:fill="ffffff"/>
    </w:rPr>
  </w:style>
  <w:style w:type="paragraph" w:styleId="1">
    <w:name w:val="본문"/>
    <w:uiPriority w:val="1"/>
    <w:pPr>
      <w:widowControl w:val="off"/>
      <w:autoSpaceDE w:val="off"/>
      <w:autoSpaceDN w:val="off"/>
      <w:snapToGrid w:val="off"/>
      <w:spacing w:before="0" w:after="0" w:line="384" w:lineRule="auto"/>
      <w:ind w:left="300" w:right="0" w:firstLine="0"/>
      <w:jc w:val="both"/>
      <w:textAlignment w:val="baseline"/>
      <w:wordWrap w:val="0"/>
    </w:pPr>
    <w:rPr>
      <w:rFonts w:ascii="Batang" w:hAnsi="Batang" w:eastAsia="Batang"/>
      <w:color w:val="000000"/>
      <w:sz w:val="20"/>
    </w:rPr>
  </w:style>
  <w:style w:type="paragraph" w:styleId="2">
    <w:name w:val="개요 1"/>
    <w:uiPriority w:val="2"/>
    <w:pPr>
      <w:widowControl w:val="off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  <w:wordWrap w:val="0"/>
    </w:pPr>
    <w:rPr>
      <w:rFonts w:ascii="Batang" w:hAnsi="Batang" w:eastAsia="Batang"/>
      <w:color w:val="000000"/>
      <w:sz w:val="20"/>
    </w:rPr>
  </w:style>
  <w:style w:type="paragraph" w:styleId="3">
    <w:name w:val="개요 2"/>
    <w:uiPriority w:val="3"/>
    <w:pPr>
      <w:widowControl w:val="off"/>
      <w:autoSpaceDE w:val="off"/>
      <w:autoSpaceDN w:val="off"/>
      <w:snapToGrid w:val="off"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  <w:wordWrap w:val="0"/>
    </w:pPr>
    <w:rPr>
      <w:rFonts w:ascii="Batang" w:hAnsi="Batang" w:eastAsia="Batang"/>
      <w:color w:val="000000"/>
      <w:sz w:val="20"/>
    </w:rPr>
  </w:style>
  <w:style w:type="paragraph" w:styleId="4">
    <w:name w:val="개요 3"/>
    <w:uiPriority w:val="4"/>
    <w:pPr>
      <w:widowControl w:val="off"/>
      <w:autoSpaceDE w:val="off"/>
      <w:autoSpaceDN w:val="off"/>
      <w:snapToGrid w:val="off"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  <w:wordWrap w:val="0"/>
    </w:pPr>
    <w:rPr>
      <w:rFonts w:ascii="Batang" w:hAnsi="Batang" w:eastAsia="Batang"/>
      <w:color w:val="000000"/>
      <w:sz w:val="20"/>
    </w:rPr>
  </w:style>
  <w:style w:type="paragraph" w:styleId="5">
    <w:name w:val="개요 4"/>
    <w:uiPriority w:val="5"/>
    <w:pPr>
      <w:widowControl w:val="off"/>
      <w:autoSpaceDE w:val="off"/>
      <w:autoSpaceDN w:val="off"/>
      <w:snapToGrid w:val="off"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  <w:wordWrap w:val="0"/>
    </w:pPr>
    <w:rPr>
      <w:rFonts w:ascii="Batang" w:hAnsi="Batang" w:eastAsia="Batang"/>
      <w:color w:val="000000"/>
      <w:sz w:val="20"/>
    </w:rPr>
  </w:style>
  <w:style w:type="paragraph" w:styleId="6">
    <w:name w:val="개요 5"/>
    <w:uiPriority w:val="6"/>
    <w:pPr>
      <w:widowControl w:val="off"/>
      <w:autoSpaceDE w:val="off"/>
      <w:autoSpaceDN w:val="off"/>
      <w:snapToGrid w:val="off"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  <w:wordWrap w:val="0"/>
    </w:pPr>
    <w:rPr>
      <w:rFonts w:ascii="Batang" w:hAnsi="Batang" w:eastAsia="Batang"/>
      <w:color w:val="000000"/>
      <w:sz w:val="20"/>
    </w:rPr>
  </w:style>
  <w:style w:type="paragraph" w:styleId="7">
    <w:name w:val="개요 6"/>
    <w:uiPriority w:val="7"/>
    <w:pPr>
      <w:widowControl w:val="off"/>
      <w:autoSpaceDE w:val="off"/>
      <w:autoSpaceDN w:val="off"/>
      <w:snapToGrid w:val="off"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  <w:wordWrap w:val="0"/>
    </w:pPr>
    <w:rPr>
      <w:rFonts w:ascii="Batang" w:hAnsi="Batang" w:eastAsia="Batang"/>
      <w:color w:val="000000"/>
      <w:sz w:val="20"/>
    </w:rPr>
  </w:style>
  <w:style w:type="paragraph" w:styleId="8">
    <w:name w:val="개요 7"/>
    <w:uiPriority w:val="8"/>
    <w:pPr>
      <w:widowControl w:val="off"/>
      <w:autoSpaceDE w:val="off"/>
      <w:autoSpaceDN w:val="off"/>
      <w:snapToGrid w:val="off"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  <w:wordWrap w:val="0"/>
    </w:pPr>
    <w:rPr>
      <w:rFonts w:ascii="Batang" w:hAnsi="Batang" w:eastAsia="Batang"/>
      <w:color w:val="000000"/>
      <w:sz w:val="20"/>
    </w:rPr>
  </w:style>
  <w:style w:type="paragraph" w:styleId="9">
    <w:name w:val="쪽 번호"/>
    <w:uiPriority w:val="9"/>
    <w:pPr>
      <w:widowControl w:val="off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Gulim" w:hAnsi="Gulim" w:eastAsia="Gulim"/>
      <w:color w:val="000000"/>
      <w:sz w:val="20"/>
    </w:rPr>
  </w:style>
  <w:style w:type="paragraph" w:styleId="10">
    <w:name w:val="머리말"/>
    <w:uiPriority w:val="10"/>
    <w:pPr>
      <w:widowControl w:val="off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  <w:wordWrap w:val="1"/>
    </w:pPr>
    <w:rPr>
      <w:rFonts w:ascii="Gulim" w:hAnsi="Gulim" w:eastAsia="Gulim"/>
      <w:color w:val="000000"/>
      <w:sz w:val="18"/>
    </w:rPr>
  </w:style>
  <w:style w:type="paragraph" w:styleId="11">
    <w:name w:val="각주"/>
    <w:uiPriority w:val="11"/>
    <w:pPr>
      <w:widowControl w:val="off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  <w:wordWrap w:val="0"/>
    </w:pPr>
    <w:rPr>
      <w:rFonts w:ascii="Batang" w:hAnsi="Batang" w:eastAsia="Batang"/>
      <w:color w:val="000000"/>
      <w:spacing w:val="-4"/>
      <w:w w:val="95"/>
      <w:sz w:val="18"/>
    </w:rPr>
  </w:style>
  <w:style w:type="paragraph" w:styleId="12">
    <w:name w:val="미주"/>
    <w:uiPriority w:val="12"/>
    <w:pPr>
      <w:widowControl w:val="off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  <w:wordWrap w:val="0"/>
    </w:pPr>
    <w:rPr>
      <w:rFonts w:ascii="Batang" w:hAnsi="Batang" w:eastAsia="Batang"/>
      <w:color w:val="000000"/>
      <w:spacing w:val="-4"/>
      <w:w w:val="95"/>
      <w:sz w:val="18"/>
    </w:rPr>
  </w:style>
  <w:style w:type="paragraph" w:styleId="13">
    <w:name w:val="메모"/>
    <w:uiPriority w:val="13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Gulim" w:hAnsi="Gulim" w:eastAsia="Gulim"/>
      <w:color w:val="000000"/>
      <w:spacing w:val="-4"/>
      <w:w w:val="95"/>
      <w:sz w:val="18"/>
    </w:rPr>
  </w:style>
  <w:style w:type="paragraph" w:styleId="14">
    <w:name w:val="각주내용(신명조9)"/>
    <w:uiPriority w:val="14"/>
    <w:pPr>
      <w:widowControl w:val="off"/>
      <w:autoSpaceDE w:val="off"/>
      <w:autoSpaceDN w:val="off"/>
      <w:snapToGrid w:val="off"/>
      <w:spacing w:before="0" w:after="0" w:line="336" w:lineRule="auto"/>
      <w:ind w:left="600" w:right="200" w:hanging="400"/>
      <w:jc w:val="both"/>
      <w:textAlignment w:val="baseline"/>
      <w:wordWrap w:val="0"/>
    </w:pPr>
    <w:rPr>
      <w:rFonts w:ascii="한양신명조" w:hAnsi="한양신명조" w:eastAsia="한양신명조"/>
      <w:color w:val="000000"/>
      <w:sz w:val="18"/>
    </w:rPr>
  </w:style>
  <w:style w:type="paragraph" w:styleId="15">
    <w:name w:val="MS바탕글"/>
    <w:uiPriority w:val="15"/>
    <w:pPr>
      <w:widowControl/>
      <w:autoSpaceDE w:val="off"/>
      <w:autoSpaceDN w:val="off"/>
      <w:snapToGrid/>
      <w:spacing w:before="0" w:after="200" w:line="273" w:lineRule="auto"/>
      <w:ind w:left="0" w:right="0" w:firstLine="0"/>
      <w:jc w:val="left"/>
      <w:textAlignment w:val="baseline"/>
      <w:wordWrap w:val="1"/>
    </w:pPr>
    <w:rPr>
      <w:rFonts w:ascii="Calibri" w:hAnsi="Calibri" w:eastAsia="Malgun Gothic"/>
      <w:color w:val="000000"/>
      <w:sz w:val="22"/>
    </w:rPr>
  </w:style>
  <w:style w:type="paragraph" w:styleId="16">
    <w:name w:val="큰제목(고14)"/>
    <w:uiPriority w:val="16"/>
    <w:pPr>
      <w:widowControl w:val="off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  <w:wordWrap w:val="0"/>
    </w:pPr>
    <w:rPr>
      <w:rFonts w:ascii="고딕" w:hAnsi="고딕" w:eastAsia="고딕"/>
      <w:color w:val="000000"/>
      <w:sz w:val="28"/>
    </w:rPr>
  </w:style>
  <w:style w:type="paragraph" w:styleId="17">
    <w:name w:val="작은제목(진명조밑9)"/>
    <w:uiPriority w:val="17"/>
    <w:pPr>
      <w:widowControl w:val="off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  <w:wordWrap w:val="0"/>
    </w:pPr>
    <w:rPr>
      <w:rFonts w:ascii="한양신명조" w:hAnsi="한양신명조" w:eastAsia="한양신명조"/>
      <w:b/>
      <w:color w:val="000000"/>
      <w:sz w:val="18"/>
      <w:u w:val="single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chart" Target="charts/chart0.xml"  /><Relationship Id="rId2" Type="http://schemas.openxmlformats.org/officeDocument/2006/relationships/settings" Target="settings.xml"  /><Relationship Id="rId3" Type="http://schemas.openxmlformats.org/officeDocument/2006/relationships/styles" Target="styles.xml"  /><Relationship Id="rId4" Type="http://schemas.openxmlformats.org/officeDocument/2006/relationships/numbering" Target="numbering.xml"  /></Relationships>
</file>

<file path=word/charts/chart0.xml><?xml version="1.0" encoding="utf-8"?>
<c:chartSpace xmlns:r="http://schemas.openxmlformats.org/officeDocument/2006/relationships" xmlns:a="http://schemas.openxmlformats.org/drawingml/2006/main" xmlns:c="http://schemas.openxmlformats.org/drawingml/2006/chart" xmlns:cdr="http://schemas.openxmlformats.org/drawingml/2006/chartDrawing">
  <c:chart>
    <c:plotArea>
      <c:barChart>
        <c:barDir val="col"/>
        <c:grouping val="clustered"/>
        <c:ser>
          <c:idx val="0"/>
          <c:order val="0"/>
          <c:tx>
            <c:strRef>
              <c:f>열1</c:f>
              <c:strCache>
                <c:ptCount val="1"/>
                <c:pt idx="0">
                  <c:v>열1</c:v>
                </c:pt>
              </c:strCache>
            </c:strRef>
          </c:tx>
          <c:spPr>
            <a:solidFill>
              <a:srgbClr val="73b1d1"/>
            </a:solidFill>
            <a:ln>
              <a:noFill/>
            </a:ln>
          </c:spPr>
          <c:cat>
            <c:strRef>
              <c:f>{"행1", "행2", "행3", "행4", "행5"}</c:f>
              <c:strCache>
                <c:ptCount val="5"/>
                <c:pt idx="0">
                  <c:v>행1</c:v>
                </c:pt>
                <c:pt idx="1">
                  <c:v>행2</c:v>
                </c:pt>
                <c:pt idx="2">
                  <c:v>행3</c:v>
                </c:pt>
                <c:pt idx="3">
                  <c:v>행4</c:v>
                </c:pt>
                <c:pt idx="4">
                  <c:v>행5</c:v>
                </c:pt>
              </c:strCache>
            </c:strRef>
          </c:cat>
          <c:val>
            <c:numRef>
              <c:f>{92, 16, 47, 38, 38}</c:f>
              <c:numCache>
                <c:ptCount val="5"/>
                <c:pt idx="0">
                  <c:v>92</c:v>
                </c:pt>
                <c:pt idx="1">
                  <c:v>16</c:v>
                </c:pt>
                <c:pt idx="2">
                  <c:v>47</c:v>
                </c:pt>
                <c:pt idx="3">
                  <c:v>38</c:v>
                </c:pt>
                <c:pt idx="4">
                  <c:v>38</c:v>
                </c:pt>
              </c:numCache>
            </c:numRef>
          </c:val>
        </c:ser>
        <c:ser>
          <c:idx val="1"/>
          <c:order val="1"/>
          <c:tx>
            <c:strRef>
              <c:f>열2</c:f>
              <c:strCache>
                <c:ptCount val="1"/>
                <c:pt idx="0">
                  <c:v>열2</c:v>
                </c:pt>
              </c:strCache>
            </c:strRef>
          </c:tx>
          <c:spPr>
            <a:solidFill>
              <a:srgbClr val="cd6565"/>
            </a:solidFill>
            <a:ln>
              <a:noFill/>
            </a:ln>
          </c:spPr>
          <c:cat>
            <c:strRef>
              <c:f>{"행1", "행2", "행3", "행4", "행5"}</c:f>
              <c:strCache>
                <c:ptCount val="5"/>
                <c:pt idx="0">
                  <c:v>행1</c:v>
                </c:pt>
                <c:pt idx="1">
                  <c:v>행2</c:v>
                </c:pt>
                <c:pt idx="2">
                  <c:v>행3</c:v>
                </c:pt>
                <c:pt idx="3">
                  <c:v>행4</c:v>
                </c:pt>
                <c:pt idx="4">
                  <c:v>행5</c:v>
                </c:pt>
              </c:strCache>
            </c:strRef>
          </c:cat>
          <c:val>
            <c:numRef>
              <c:f>{82, 38, 26, 69, 69}</c:f>
              <c:numCache>
                <c:ptCount val="5"/>
                <c:pt idx="0">
                  <c:v>82</c:v>
                </c:pt>
                <c:pt idx="1">
                  <c:v>38</c:v>
                </c:pt>
                <c:pt idx="2">
                  <c:v>26</c:v>
                </c:pt>
                <c:pt idx="3">
                  <c:v>69</c:v>
                </c:pt>
                <c:pt idx="4">
                  <c:v>69</c:v>
                </c:pt>
              </c:numCache>
            </c:numRef>
          </c:val>
        </c:ser>
        <c:ser>
          <c:idx val="2"/>
          <c:order val="2"/>
          <c:tx>
            <c:strRef>
              <c:f>열3</c:f>
              <c:strCache>
                <c:ptCount val="1"/>
                <c:pt idx="0">
                  <c:v>열3</c:v>
                </c:pt>
              </c:strCache>
            </c:strRef>
          </c:tx>
          <c:spPr>
            <a:solidFill>
              <a:srgbClr val="ebc452"/>
            </a:solidFill>
            <a:ln>
              <a:noFill/>
            </a:ln>
          </c:spPr>
          <c:cat>
            <c:strRef>
              <c:f>{"행1", "행2", "행3", "행4", "행5"}</c:f>
              <c:strCache>
                <c:ptCount val="5"/>
                <c:pt idx="0">
                  <c:v>행1</c:v>
                </c:pt>
                <c:pt idx="1">
                  <c:v>행2</c:v>
                </c:pt>
                <c:pt idx="2">
                  <c:v>행3</c:v>
                </c:pt>
                <c:pt idx="3">
                  <c:v>행4</c:v>
                </c:pt>
                <c:pt idx="4">
                  <c:v>행5</c:v>
                </c:pt>
              </c:strCache>
            </c:strRef>
          </c:cat>
          <c:val>
            <c:numRef>
              <c:f>{21, 75, 55, 45, 45}</c:f>
              <c:numCache>
                <c:ptCount val="5"/>
                <c:pt idx="0">
                  <c:v>21</c:v>
                </c:pt>
                <c:pt idx="1">
                  <c:v>75</c:v>
                </c:pt>
                <c:pt idx="2">
                  <c:v>55</c:v>
                </c:pt>
                <c:pt idx="3">
                  <c:v>45</c:v>
                </c:pt>
                <c:pt idx="4">
                  <c:v>45</c:v>
                </c:pt>
              </c:numCache>
            </c:numRef>
          </c:val>
        </c:ser>
        <c:ser>
          <c:idx val="3"/>
          <c:order val="3"/>
          <c:tx>
            <c:strRef>
              <c:f>열4</c:f>
              <c:strCache>
                <c:ptCount val="1"/>
                <c:pt idx="0">
                  <c:v>열4</c:v>
                </c:pt>
              </c:strCache>
            </c:strRef>
          </c:tx>
          <c:spPr>
            <a:solidFill>
              <a:srgbClr val="90c968"/>
            </a:solidFill>
            <a:ln>
              <a:noFill/>
            </a:ln>
          </c:spPr>
          <c:cat>
            <c:strRef>
              <c:f>{"행1", "행2", "행3", "행4", "행5"}</c:f>
              <c:strCache>
                <c:ptCount val="5"/>
                <c:pt idx="0">
                  <c:v>행1</c:v>
                </c:pt>
                <c:pt idx="1">
                  <c:v>행2</c:v>
                </c:pt>
                <c:pt idx="2">
                  <c:v>행3</c:v>
                </c:pt>
                <c:pt idx="3">
                  <c:v>행4</c:v>
                </c:pt>
                <c:pt idx="4">
                  <c:v>행5</c:v>
                </c:pt>
              </c:strCache>
            </c:strRef>
          </c:cat>
          <c:val>
            <c:numRef>
              <c:f>{45, 21, 21, 21, 88}</c:f>
              <c:numCache>
                <c:ptCount val="5"/>
                <c:pt idx="0">
                  <c:v>45</c:v>
                </c:pt>
                <c:pt idx="1">
                  <c:v>21</c:v>
                </c:pt>
                <c:pt idx="2">
                  <c:v>21</c:v>
                </c:pt>
                <c:pt idx="3">
                  <c:v>21</c:v>
                </c:pt>
                <c:pt idx="4">
                  <c:v>88</c:v>
                </c:pt>
              </c:numCache>
            </c:numRef>
          </c:val>
        </c:ser>
        <c:gapWidth val="100"/>
        <c:axId val="0"/>
        <c:axId val="1"/>
      </c:barChart>
      <c:catAx>
        <c:axId val="0"/>
        <c:scaling/>
        <c:axPos val="b"/>
        <c:spPr>
          <a:ln>
            <a:solidFill>
              <a:srgbClr val="8c8c8c"/>
            </a:solidFill>
          </a:ln>
        </c:spPr>
        <c:txPr>
          <a:bodyPr/>
          <a:p>
            <a:pPr>
              <a:defRPr sz="900">
                <a:solidFill>
                  <a:srgbClr val="000000"/>
                </a:solidFill>
                <a:latin typeface="함초롬돋움"/>
                <a:ea typeface="함초롬돋움"/>
              </a:defRPr>
            </a:pPr>
          </a:p>
        </c:txPr>
        <c:crossAx val="1"/>
      </c:catAx>
      <c:valAx>
        <c:axId val="1"/>
        <c:scaling/>
        <c:axPos val="l"/>
        <c:majorGridlines>
          <c:spPr>
            <a:ln>
              <a:solidFill>
                <a:srgbClr val="8c8c8c"/>
              </a:solidFill>
            </a:ln>
          </c:spPr>
        </c:majorGridlines>
        <c:majorTickMark val="cross"/>
        <c:spPr>
          <a:ln>
            <a:solidFill>
              <a:srgbClr val="8c8c8c"/>
            </a:solidFill>
          </a:ln>
        </c:spPr>
        <c:txPr>
          <a:bodyPr/>
          <a:p>
            <a:pPr>
              <a:defRPr sz="900">
                <a:solidFill>
                  <a:srgbClr val="000000"/>
                </a:solidFill>
                <a:latin typeface="함초롬돋움"/>
                <a:ea typeface="함초롬돋움"/>
              </a:defRPr>
            </a:pPr>
          </a:p>
        </c:txPr>
        <c:crossAx val="0"/>
      </c:valAx>
      <c:spPr>
        <a:noFill/>
      </c:spPr>
    </c:plotArea>
    <c:legend>
      <c:legendPos val="r"/>
      <c:txPr>
        <a:bodyPr/>
        <a:p>
          <a:pPr>
            <a:defRPr sz="900">
              <a:solidFill>
                <a:srgbClr val="000000"/>
              </a:solidFill>
              <a:latin typeface="함초롬돋움"/>
              <a:ea typeface="함초롬돋움"/>
            </a:defRPr>
          </a:pPr>
        </a:p>
      </c:txPr>
    </c:legend>
  </c:chart>
  <c:spPr>
    <a:ln>
      <a:solidFill>
        <a:srgbClr val="8c8c8c"/>
      </a:solidFill>
    </a:ln>
  </c:spPr>
  <c:txPr>
    <a:bodyPr/>
    <a:p>
      <a:pPr>
        <a:defRPr sz="900">
          <a:solidFill>
            <a:srgbClr val="000000"/>
          </a:solidFill>
          <a:latin typeface="함초롬돋움"/>
          <a:ea typeface="함초롬돋움"/>
        </a:defRPr>
      </a:pPr>
    </a:p>
  </c:txPr>
</c:chartSpace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 2010</ep:Application>
  <ep:AppVersion>8.0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그리스도와 함께 감추어진 생명</dc:title>
  <dc:creator>FUJITSU</dc:creator>
  <cp:lastModifiedBy>dlee1</cp:lastModifiedBy>
  <dcterms:created xsi:type="dcterms:W3CDTF">2009-09-20T00:03:29.090</dcterms:created>
  <dcterms:modified xsi:type="dcterms:W3CDTF">2026-09-06T11:00:05.247</dcterms:modified>
</cp:coreProperties>
</file>